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225" w:rsidRDefault="003C3FBE">
      <w:pPr>
        <w:tabs>
          <w:tab w:val="center" w:pos="4153"/>
          <w:tab w:val="right" w:pos="8306"/>
        </w:tabs>
        <w:spacing w:after="0" w:line="240" w:lineRule="auto"/>
        <w:ind w:left="1040" w:hanging="1040"/>
        <w:jc w:val="center"/>
        <w:rPr>
          <w:rFonts w:ascii="Times New Roman" w:eastAsia="Times New Roman" w:hAnsi="Times New Roman" w:cs="Times New Roman"/>
          <w:b/>
          <w:color w:val="007354"/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48.85pt;margin-top:-.3pt;width:369pt;height:42.75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" stroked="f">
            <v:textbox>
              <w:txbxContent>
                <w:p w:rsidR="003C3FBE" w:rsidRPr="00B72015" w:rsidRDefault="003C3FBE" w:rsidP="003C3FBE">
                  <w:pPr>
                    <w:pStyle w:val="21"/>
                    <w:spacing w:before="63"/>
                    <w:ind w:left="177" w:right="395"/>
                    <w:jc w:val="center"/>
                    <w:rPr>
                      <w:lang w:val="ru-RU"/>
                    </w:rPr>
                  </w:pPr>
                  <w:r w:rsidRPr="00B72015">
                    <w:rPr>
                      <w:color w:val="007354"/>
                      <w:lang w:val="ru-RU"/>
                    </w:rPr>
                    <w:t>НЕЗАВИСИМОЕ АГЕНТСТВО ПО АККРЕДИТАЦИИ И ЭКСПЕРТИЗЕ КАЧЕСТВА ОБРАЗОВАНИЯ «</w:t>
                  </w:r>
                  <w:r>
                    <w:rPr>
                      <w:color w:val="007354"/>
                    </w:rPr>
                    <w:t>ARQA</w:t>
                  </w:r>
                  <w:r w:rsidRPr="00B72015">
                    <w:rPr>
                      <w:color w:val="007354"/>
                      <w:lang w:val="ru-RU"/>
                    </w:rPr>
                    <w:t>»</w:t>
                  </w:r>
                </w:p>
                <w:p w:rsidR="003C3FBE" w:rsidRPr="00B72015" w:rsidRDefault="003C3FBE" w:rsidP="003C3FBE">
                  <w:pPr>
                    <w:rPr>
                      <w:b/>
                      <w:sz w:val="20"/>
                    </w:rPr>
                  </w:pPr>
                </w:p>
                <w:p w:rsidR="003C3FBE" w:rsidRPr="00CD626F" w:rsidRDefault="003C3FBE" w:rsidP="003C3FBE"/>
              </w:txbxContent>
            </v:textbox>
          </v:shape>
        </w:pict>
      </w:r>
    </w:p>
    <w:p w:rsidR="00E25225" w:rsidRDefault="00E25225">
      <w:pPr>
        <w:keepNext/>
        <w:tabs>
          <w:tab w:val="left" w:pos="1068"/>
        </w:tabs>
        <w:spacing w:after="0" w:line="240" w:lineRule="auto"/>
        <w:ind w:left="1068" w:hanging="360"/>
        <w:jc w:val="right"/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777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object w:dxaOrig="1718" w:dyaOrig="2241">
          <v:rect id="rectole0000000000" o:spid="_x0000_i1025" style="width:86.25pt;height:111.75pt" o:ole="" o:preferrelative="t" stroked="f">
            <v:imagedata r:id="rId7" o:title=""/>
          </v:rect>
          <o:OLEObject Type="Embed" ProgID="StaticMetafile" ShapeID="rectole0000000000" DrawAspect="Content" ObjectID="_1782209558" r:id="rId8"/>
        </w:object>
      </w:r>
    </w:p>
    <w:p w:rsidR="00E25225" w:rsidRDefault="00E25225">
      <w:pPr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777FE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Отчет о результатах </w:t>
      </w:r>
    </w:p>
    <w:p w:rsidR="00E25225" w:rsidRDefault="00777FE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внешней оценки реализации образовательной программы</w:t>
      </w:r>
    </w:p>
    <w:p w:rsidR="00E25225" w:rsidRDefault="000163A7" w:rsidP="000163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7М02310 – «Иност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>ранная филология»</w:t>
      </w:r>
    </w:p>
    <w:p w:rsidR="00E25225" w:rsidRDefault="00777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НАО «Евразийский национальный университет имени Л.Н. Гумилева»</w:t>
      </w:r>
    </w:p>
    <w:p w:rsidR="00E25225" w:rsidRDefault="00777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рамках специализированной аккредитации</w:t>
      </w:r>
    </w:p>
    <w:p w:rsidR="00E25225" w:rsidRDefault="00E25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25225" w:rsidRDefault="00E25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777F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Дата получения </w:t>
      </w:r>
      <w:r>
        <w:rPr>
          <w:rFonts w:ascii="Times New Roman" w:eastAsia="Times New Roman" w:hAnsi="Times New Roman" w:cs="Times New Roman"/>
          <w:b/>
          <w:sz w:val="24"/>
        </w:rPr>
        <w:t>окончательной редакции отчета</w:t>
      </w: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 </w:t>
      </w:r>
    </w:p>
    <w:p w:rsidR="00E25225" w:rsidRPr="000163A7" w:rsidRDefault="00777F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  <w:r w:rsidRPr="000163A7">
        <w:rPr>
          <w:rFonts w:ascii="Times New Roman" w:eastAsia="Times New Roman" w:hAnsi="Times New Roman" w:cs="Times New Roman"/>
          <w:b/>
          <w:sz w:val="24"/>
        </w:rPr>
        <w:t xml:space="preserve">30 мая 2024 г. </w:t>
      </w:r>
    </w:p>
    <w:p w:rsidR="00E25225" w:rsidRDefault="00E25225">
      <w:pPr>
        <w:spacing w:after="0" w:line="240" w:lineRule="auto"/>
        <w:ind w:firstLine="448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777F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Дата внешней оценки (визита)</w:t>
      </w:r>
    </w:p>
    <w:p w:rsidR="00E25225" w:rsidRDefault="00777F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20-22 июня 2024 г.</w:t>
      </w: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163A7" w:rsidRDefault="000163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0163A7" w:rsidRDefault="000163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777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Астана, 2024 г.</w:t>
      </w:r>
    </w:p>
    <w:p w:rsidR="00E25225" w:rsidRDefault="00E25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777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 </w:t>
      </w:r>
    </w:p>
    <w:p w:rsidR="00E25225" w:rsidRDefault="00E252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777FE8" w:rsidRDefault="00777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777FE8" w:rsidRDefault="00777F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0163A7">
      <w:pPr>
        <w:spacing w:before="100" w:after="100" w:line="276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5F3DE6F4" wp14:editId="64D20BF6">
            <wp:simplePos x="0" y="0"/>
            <wp:positionH relativeFrom="column">
              <wp:posOffset>-1847850</wp:posOffset>
            </wp:positionH>
            <wp:positionV relativeFrom="paragraph">
              <wp:posOffset>-1355725</wp:posOffset>
            </wp:positionV>
            <wp:extent cx="9153525" cy="11767001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1176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FE8"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1ВВОДНАЯ ЧАСТЬ</w:t>
      </w:r>
    </w:p>
    <w:p w:rsidR="00777FE8" w:rsidRPr="00777FE8" w:rsidRDefault="00777FE8" w:rsidP="00777FE8">
      <w:pPr>
        <w:numPr>
          <w:ilvl w:val="0"/>
          <w:numId w:val="1"/>
        </w:numPr>
        <w:spacing w:before="100" w:after="100" w:line="276" w:lineRule="auto"/>
        <w:ind w:left="360" w:hanging="360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222222"/>
          <w:sz w:val="24"/>
          <w:shd w:val="clear" w:color="auto" w:fill="FFFFFF"/>
        </w:rPr>
        <w:t xml:space="preserve">Сведения о составе экспертной группы </w:t>
      </w:r>
    </w:p>
    <w:p w:rsidR="00777FE8" w:rsidRDefault="00777FE8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0163A7" w:rsidRDefault="000163A7">
      <w:pPr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26908FF" wp14:editId="728AFCBE">
            <wp:simplePos x="0" y="0"/>
            <wp:positionH relativeFrom="column">
              <wp:posOffset>-1628775</wp:posOffset>
            </wp:positionH>
            <wp:positionV relativeFrom="paragraph">
              <wp:posOffset>-1343025</wp:posOffset>
            </wp:positionV>
            <wp:extent cx="8625385" cy="11720566"/>
            <wp:effectExtent l="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385" cy="117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E25225" w:rsidRDefault="00777FE8" w:rsidP="000163A7">
      <w:pPr>
        <w:spacing w:before="100" w:after="100" w:line="276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1.2 </w:t>
      </w:r>
      <w:r>
        <w:rPr>
          <w:rFonts w:ascii="Times New Roman" w:eastAsia="Times New Roman" w:hAnsi="Times New Roman" w:cs="Times New Roman"/>
          <w:b/>
          <w:i/>
          <w:color w:val="222222"/>
          <w:sz w:val="24"/>
          <w:shd w:val="clear" w:color="auto" w:fill="FFFFFF"/>
        </w:rPr>
        <w:t xml:space="preserve">Описание внешней оценки (визита) </w:t>
      </w:r>
    </w:p>
    <w:p w:rsidR="00E25225" w:rsidRDefault="00E252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</w:p>
    <w:p w:rsidR="00E25225" w:rsidRPr="000163A7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 результате визуального осмотра материально-технической базы установлено, что для развития и реализации образовательной программы 7М02310 - «Иностранная филология» имеются соответствующие материально-технические ресурсы. ОП обеспечена достаточным количеством аудиторного фонда, специализированными кабинетами, оснащенными по современным требованиям, научной библиотекой, учебно-методическим материалами, условиями для работы в читальных залах, столовыми, медицинским обслуживанием в корпусах вуза, безопасной жизнедеятельности обучающихся и качественного обучения в вузе. Занятия проходят в аудиториях, которые оснащены техническими средствами обучения: интерактивными панелями и интерактивными досками. В распоряжении кафедры 6 учебных аудиторий на 10-20 посадочных мест, из них 3 специализированных кабинета (</w:t>
      </w:r>
      <w:r w:rsidRPr="000163A7">
        <w:rPr>
          <w:rFonts w:ascii="Times New Roman" w:eastAsia="Segoe UI Symbol" w:hAnsi="Times New Roman" w:cs="Times New Roman"/>
          <w:color w:val="222222"/>
          <w:sz w:val="24"/>
          <w:shd w:val="clear" w:color="auto" w:fill="FFFFFF"/>
        </w:rPr>
        <w:t>№</w:t>
      </w: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324, 328, 329), 2 лингафонных кабинета (</w:t>
      </w:r>
      <w:r w:rsidRPr="000163A7">
        <w:rPr>
          <w:rFonts w:ascii="Times New Roman" w:eastAsia="Segoe UI Symbol" w:hAnsi="Times New Roman" w:cs="Times New Roman"/>
          <w:color w:val="222222"/>
          <w:sz w:val="24"/>
          <w:shd w:val="clear" w:color="auto" w:fill="FFFFFF"/>
        </w:rPr>
        <w:t>№</w:t>
      </w: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311, 310) и учебная аудитория </w:t>
      </w:r>
      <w:r w:rsidRPr="000163A7">
        <w:rPr>
          <w:rFonts w:ascii="Times New Roman" w:eastAsia="Segoe UI Symbol" w:hAnsi="Times New Roman" w:cs="Times New Roman"/>
          <w:color w:val="222222"/>
          <w:sz w:val="24"/>
          <w:shd w:val="clear" w:color="auto" w:fill="FFFFFF"/>
        </w:rPr>
        <w:t>№</w:t>
      </w: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223. Кабинет </w:t>
      </w:r>
      <w:r w:rsidRPr="000163A7">
        <w:rPr>
          <w:rFonts w:ascii="Times New Roman" w:eastAsia="Segoe UI Symbol" w:hAnsi="Times New Roman" w:cs="Times New Roman"/>
          <w:color w:val="222222"/>
          <w:sz w:val="24"/>
          <w:shd w:val="clear" w:color="auto" w:fill="FFFFFF"/>
        </w:rPr>
        <w:t>№</w:t>
      </w: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329 оснащен компьютерным оборудованием, имеются встроенный LED экран, доска; он рассматривается как ресурсный центр кафедры. Кабинет 328 на 18 посадочных мест имеет LED экран и компьютеры.</w:t>
      </w:r>
    </w:p>
    <w:p w:rsidR="00E25225" w:rsidRPr="000163A7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Экспертной комиссией подтверждено, что в ЕНУ им. Л. Гумилева имеется научная библиотека с достаточным количеством библиотечных ресурсов. Обеспеченность лицензионными учебными и научными электронными изданиями по общеобразовательным, базовым и профилирующим дисциплинам составляет 100%. Обучающиеся по данной образовательной программе имеют доступ в компьютерные классы, залы электронных ресурсов, читальные залы и залы периодики научной библиотеки «</w:t>
      </w:r>
      <w:proofErr w:type="spellStart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Отырар</w:t>
      </w:r>
      <w:proofErr w:type="spellEnd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» ЕНУ им. Л.Н. Гумилева.</w:t>
      </w:r>
    </w:p>
    <w:p w:rsidR="00E25225" w:rsidRPr="000163A7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Согласно представленным документам, ОП 7М02310 – Иностранная филология разработана в соответствии с Национальной рамкой квалификаций, профессиональными стандартами, Дублинскими дескрипторами первого уровня (бакалавриат) и Европейской рамкой квалификаций, Государственным общеобязательным стандартом высшего образования (Бакалавриат. </w:t>
      </w:r>
      <w:r w:rsidRPr="000163A7">
        <w:rPr>
          <w:rFonts w:ascii="Times New Roman" w:eastAsia="Segoe UI Symbol" w:hAnsi="Times New Roman" w:cs="Times New Roman"/>
          <w:color w:val="222222"/>
          <w:sz w:val="24"/>
          <w:shd w:val="clear" w:color="auto" w:fill="FFFFFF"/>
        </w:rPr>
        <w:t>№</w:t>
      </w: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2 от 27.07.2022г.). </w:t>
      </w:r>
    </w:p>
    <w:p w:rsidR="00E25225" w:rsidRPr="000163A7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При разработке ОП используется модульная система. Наличие в программах образовательных модулей, разработанных с привлечением представителей (ОП 2022г., 2023г. - </w:t>
      </w:r>
      <w:proofErr w:type="spellStart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Капанова</w:t>
      </w:r>
      <w:proofErr w:type="spellEnd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Д.Е., Академия физической культуры и массового спорта, к.ф.н., проф., ОП 2020г.,2021г. - </w:t>
      </w:r>
      <w:proofErr w:type="spellStart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Загатова</w:t>
      </w:r>
      <w:proofErr w:type="spellEnd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С.Б., Директор департамента по академическим вопросам и аккредитации ЕАГИ, к.ф.н., проф. ) и зарубежных партнеров (ОП 2022г. - </w:t>
      </w:r>
      <w:proofErr w:type="spellStart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Абдукадырова</w:t>
      </w:r>
      <w:proofErr w:type="spellEnd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Т.Т., </w:t>
      </w:r>
      <w:proofErr w:type="spellStart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к.п.н</w:t>
      </w:r>
      <w:proofErr w:type="spellEnd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., доцент Чеченского государственного университета </w:t>
      </w:r>
      <w:proofErr w:type="spellStart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им.А.А.Кадырова</w:t>
      </w:r>
      <w:proofErr w:type="spellEnd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), актуальных для работодателей компетенций с учетом уровня образования позволяет кафедре в соответствии с требованиями рынка труда, оперативно формировать инновационные траектории обучения, адаптировать и использовать на всех уровнях образования. Таким образом, работодателями были предложены следующий дисциплины в ОП 7М02310 - «Иностранная филология»: "Современный </w:t>
      </w:r>
      <w:proofErr w:type="spellStart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медиатекст</w:t>
      </w:r>
      <w:proofErr w:type="spellEnd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как публицистический жанр" (2023), "Внутриязыковые процессы в современных языках" (2022), "Теория речи и межкультурная коммуникация" (2021), "Морфология языка", "</w:t>
      </w:r>
      <w:proofErr w:type="spellStart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Терминоведение</w:t>
      </w:r>
      <w:proofErr w:type="spellEnd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", "Экология медийного теста", "Социум и язык" (2019). Результаты анализа элективных дисциплин с привлечением работодателей представлены на заседании кафедры (Протокол заседания кафедры </w:t>
      </w:r>
      <w:r w:rsidRPr="000163A7">
        <w:rPr>
          <w:rFonts w:ascii="Times New Roman" w:eastAsia="Segoe UI Symbol" w:hAnsi="Times New Roman" w:cs="Times New Roman"/>
          <w:color w:val="222222"/>
          <w:sz w:val="24"/>
          <w:shd w:val="clear" w:color="auto" w:fill="FFFFFF"/>
        </w:rPr>
        <w:t>№</w:t>
      </w: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8 от 29.03.2023 г. о пересмотре содержания и структуры ОП и КД).</w:t>
      </w:r>
    </w:p>
    <w:p w:rsidR="00E25225" w:rsidRPr="000163A7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 разработке ОП и ее мониторинге задействованы все имеющие к этому отношение заинтересованные субъекты, ППС, работодатели, магистранты. В Академический комитет входят обучающиеся, по кафедре утвержден состав рабочей группы по проектированию и разработке образовательных программ, куда входят ППС, обучающиеся, работодатели. Для мониторинга и совершенствования ОП используются опросы обучающихся. </w:t>
      </w:r>
    </w:p>
    <w:p w:rsidR="00E25225" w:rsidRPr="000163A7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lastRenderedPageBreak/>
        <w:t xml:space="preserve">В процессы управления «7М02310 - Иностранная филология» с целью актуализации ее содержания и профессиональной ориентировки привлекаются и обучающиеся, которые принимают активное участие на заседаниях кафедры при обсуждении. Например, в разработке и утверждение ОП приема 2020 г. приняла участие магистрант Алиева А., ОП приема 2021г. – магистрант </w:t>
      </w:r>
      <w:proofErr w:type="spellStart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Макыжан</w:t>
      </w:r>
      <w:proofErr w:type="spellEnd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Д., ОП прием 2022 г. – магистрант </w:t>
      </w:r>
      <w:proofErr w:type="spellStart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Имангалиева</w:t>
      </w:r>
      <w:proofErr w:type="spellEnd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Д., ОП прием 2023г. – магистрант </w:t>
      </w:r>
      <w:proofErr w:type="spellStart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Хасенова</w:t>
      </w:r>
      <w:proofErr w:type="spellEnd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А.</w:t>
      </w:r>
    </w:p>
    <w:p w:rsidR="00E25225" w:rsidRPr="000163A7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Информирование заинтересованных сторон обо всех изменениях в отношении образовательных программ реализуется через официальный сайт университета, образовательный портал, АИС «PLATONUS», на страницах социальных сетей </w:t>
      </w:r>
      <w:proofErr w:type="spellStart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kafedra_if</w:t>
      </w:r>
      <w:proofErr w:type="spellEnd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(</w:t>
      </w:r>
      <w:proofErr w:type="spellStart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facebook</w:t>
      </w:r>
      <w:proofErr w:type="spellEnd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, </w:t>
      </w:r>
      <w:proofErr w:type="spellStart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Instagram</w:t>
      </w:r>
      <w:proofErr w:type="spellEnd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). </w:t>
      </w:r>
    </w:p>
    <w:p w:rsidR="00E25225" w:rsidRPr="000163A7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ОП </w:t>
      </w:r>
      <w:r w:rsidRPr="000163A7"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«</w:t>
      </w: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7М02310 – Иностранная филология» согласно рейтингу образовательных программ НААР входит в лидеры: 2020 г. – 2 место; 2021 г. – 3 место; 2022 г. – 1 место; 2023 г. – 1 место, 2024 г. – 1 место. </w:t>
      </w:r>
    </w:p>
    <w:p w:rsidR="00E25225" w:rsidRPr="000163A7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 ходе посещения кафедры были изучены штатное расписание кафедры, персональная нагрузка преподавателей. Показатели и анализ кадрового потенциала ППС, обслуживающего данную ОП соответствуют квалификационным требованиям, процент </w:t>
      </w:r>
      <w:proofErr w:type="spellStart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остепененности</w:t>
      </w:r>
      <w:proofErr w:type="spellEnd"/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составляет 64%. </w:t>
      </w:r>
    </w:p>
    <w:p w:rsidR="00E25225" w:rsidRPr="000163A7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Согласно представленным данным, общий контингент обучающихся имеет тенденцию к снижению: 2021-2022 уч. год – 48 обучающихся, 2022-2023 уч. год – 23; 2023-2024 уч. год – 14.</w:t>
      </w:r>
    </w:p>
    <w:p w:rsidR="00E25225" w:rsidRPr="000163A7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 последние годы выпускники данной ОП испытывают трудности с трудоустройством.</w:t>
      </w:r>
      <w:r w:rsidRPr="000163A7">
        <w:rPr>
          <w:rFonts w:ascii="Times New Roman" w:eastAsia="Times New Roman" w:hAnsi="Times New Roman" w:cs="Times New Roman"/>
          <w:sz w:val="24"/>
        </w:rPr>
        <w:t xml:space="preserve"> </w:t>
      </w:r>
      <w:r w:rsidRPr="000163A7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 связи с этим экспертная комиссия считает, что надо активизировать профориентационную работу, используя как традиционные, так и нетрадиционные формы агитации.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0163A7">
        <w:rPr>
          <w:rFonts w:ascii="Times New Roman" w:eastAsia="Times New Roman" w:hAnsi="Times New Roman" w:cs="Times New Roman"/>
          <w:sz w:val="24"/>
        </w:rPr>
        <w:t xml:space="preserve">Анализ документации на кафедре показал, что для успешного освоения образовательных программ в учебном процессе бакалаврами ОП «7М02310 – Иностранная филология» преподаватели кафедры используют современные, эффективные инновационные методы и технологии обучения, направленные на активное вовлечение обучающихся. Это: проблемное обучение, метод перевернутого класса, мозговой штурм, презентации, ситуационные игры, разработки </w:t>
      </w:r>
      <w:proofErr w:type="spellStart"/>
      <w:r w:rsidRPr="000163A7">
        <w:rPr>
          <w:rFonts w:ascii="Times New Roman" w:eastAsia="Times New Roman" w:hAnsi="Times New Roman" w:cs="Times New Roman"/>
          <w:sz w:val="24"/>
        </w:rPr>
        <w:t>case</w:t>
      </w:r>
      <w:proofErr w:type="spellEnd"/>
      <w:r w:rsidRPr="000163A7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0163A7">
        <w:rPr>
          <w:rFonts w:ascii="Times New Roman" w:eastAsia="Times New Roman" w:hAnsi="Times New Roman" w:cs="Times New Roman"/>
          <w:sz w:val="24"/>
        </w:rPr>
        <w:t>study</w:t>
      </w:r>
      <w:proofErr w:type="spellEnd"/>
      <w:r w:rsidRPr="000163A7">
        <w:rPr>
          <w:rFonts w:ascii="Times New Roman" w:eastAsia="Times New Roman" w:hAnsi="Times New Roman" w:cs="Times New Roman"/>
          <w:sz w:val="24"/>
        </w:rPr>
        <w:t>, видеоролики, дискуссии, круглый стол, гостевые лекции, различные обучающие платформы (</w:t>
      </w:r>
      <w:proofErr w:type="spellStart"/>
      <w:r w:rsidRPr="000163A7">
        <w:rPr>
          <w:rFonts w:ascii="Times New Roman" w:eastAsia="Times New Roman" w:hAnsi="Times New Roman" w:cs="Times New Roman"/>
          <w:sz w:val="24"/>
        </w:rPr>
        <w:t>Canvas</w:t>
      </w:r>
      <w:proofErr w:type="spellEnd"/>
      <w:r w:rsidRPr="000163A7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0163A7">
        <w:rPr>
          <w:rFonts w:ascii="Times New Roman" w:eastAsia="Times New Roman" w:hAnsi="Times New Roman" w:cs="Times New Roman"/>
          <w:sz w:val="24"/>
        </w:rPr>
        <w:t>Google</w:t>
      </w:r>
      <w:proofErr w:type="spellEnd"/>
      <w:r w:rsidRPr="000163A7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0163A7">
        <w:rPr>
          <w:rFonts w:ascii="Times New Roman" w:eastAsia="Times New Roman" w:hAnsi="Times New Roman" w:cs="Times New Roman"/>
          <w:sz w:val="24"/>
        </w:rPr>
        <w:t>сервисs</w:t>
      </w:r>
      <w:proofErr w:type="spellEnd"/>
      <w:r w:rsidRPr="000163A7">
        <w:rPr>
          <w:rFonts w:ascii="Times New Roman" w:eastAsia="Times New Roman" w:hAnsi="Times New Roman" w:cs="Times New Roman"/>
          <w:sz w:val="24"/>
        </w:rPr>
        <w:t xml:space="preserve"> ZOOM, </w:t>
      </w:r>
      <w:proofErr w:type="spellStart"/>
      <w:r w:rsidRPr="000163A7">
        <w:rPr>
          <w:rFonts w:ascii="Times New Roman" w:eastAsia="Times New Roman" w:hAnsi="Times New Roman" w:cs="Times New Roman"/>
          <w:sz w:val="24"/>
        </w:rPr>
        <w:t>Teams</w:t>
      </w:r>
      <w:proofErr w:type="spellEnd"/>
      <w:r w:rsidRPr="000163A7"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 w:rsidRPr="000163A7">
        <w:rPr>
          <w:rFonts w:ascii="Times New Roman" w:eastAsia="Times New Roman" w:hAnsi="Times New Roman" w:cs="Times New Roman"/>
          <w:sz w:val="24"/>
        </w:rPr>
        <w:t>Lingua</w:t>
      </w:r>
      <w:proofErr w:type="spellEnd"/>
      <w:r w:rsidRPr="000163A7">
        <w:rPr>
          <w:rFonts w:ascii="Times New Roman" w:eastAsia="Times New Roman" w:hAnsi="Times New Roman" w:cs="Times New Roman"/>
          <w:sz w:val="24"/>
        </w:rPr>
        <w:t xml:space="preserve"> и др.), видео игры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</w:rPr>
        <w:t>Kahoot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Japardee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др.), также ППС активно используют ИИ в обучении. Все эти формы и методы обучения отражены в </w:t>
      </w:r>
      <w:hyperlink r:id="rId11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силлабусах</w:t>
        </w:r>
        <w:proofErr w:type="spellEnd"/>
      </w:hyperlink>
      <w:r>
        <w:rPr>
          <w:rFonts w:ascii="Times New Roman" w:eastAsia="Times New Roman" w:hAnsi="Times New Roman" w:cs="Times New Roman"/>
          <w:sz w:val="24"/>
        </w:rPr>
        <w:t xml:space="preserve"> и активно используются преподавателями на занятиях, что подтверждается графиками </w:t>
      </w:r>
      <w:proofErr w:type="spellStart"/>
      <w:r>
        <w:rPr>
          <w:rFonts w:ascii="Times New Roman" w:eastAsia="Times New Roman" w:hAnsi="Times New Roman" w:cs="Times New Roman"/>
          <w:sz w:val="24"/>
        </w:rPr>
        <w:t>взаимопосещений</w:t>
      </w:r>
      <w:proofErr w:type="spellEnd"/>
      <w:r>
        <w:rPr>
          <w:rFonts w:ascii="Times New Roman" w:eastAsia="Times New Roman" w:hAnsi="Times New Roman" w:cs="Times New Roman"/>
          <w:sz w:val="24"/>
        </w:rPr>
        <w:t>, открытых занятий, протоколами и отчетами по открытым занятиям.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ЭГ отмечает стремление университета к интернационализации через расширение международного сотрудничества, включая повышение академической мобильности, привлечение международных волонтеров и зарубежных ученых.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 отчетный период намечена положительная динамика в плане академической мобильности студентов и преподавателей, которая осуществляется как за счет собственных средств обучающегося, так и за счет грантов на академическую мобильность Министерства науки и высшего образования.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Исходящая академическая мобильность составила: за 2022-2023 учебный год – 3; за 2023-2024 учебный год – 1 обучающийся. Входящая академическая мобильность отсутствует.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Представленные ЕНУ им.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Л.Н. Гумилева документы подтверждают наличие условий для формирования индивидуальной образовательной траектории студентами, что технически подтверждается наличием каталога элективных дисциплин, а также наличием дополнительных образовательных программ </w:t>
      </w:r>
      <w:proofErr w:type="spellStart"/>
      <w:r>
        <w:rPr>
          <w:rFonts w:ascii="Times New Roman" w:eastAsia="Times New Roman" w:hAnsi="Times New Roman" w:cs="Times New Roman"/>
          <w:sz w:val="24"/>
        </w:rPr>
        <w:t>Minor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Представленные организацией образования документы подтверждают высококвалифицированный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научно-педагогический состав кафедры, что позволяет осуществлять фундаментальные научные исследования и презентовать их в виде ежегодной научной продукции на научных форумах различного уровня (конференции и семинары), организуемых на базе кафедры. Вместе с тем, отсутствуют совместные проекты с международными вузами, при наличии большого потенциала в осуществлении проектов, международного сотрудничества в области научных исследований (критерий 5.4.d).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Конкурентным преимуществом образовательных программ является наличие современной материально-технической базы обучения и высокий научный потенциал ППС.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Информация для обучающихся об используемых критериях и процедурах оценивания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 1552 иностранных обучающихся из 30 стран мира 13 студентов обучаются по аккредитуемой ОП 7М02310 – Иностранная филология, из них 5 - Кыргызстан, 8 – Узбекистан.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качестве положительного опыта отмечается прохождение курсов повышения квалификации ППС оффлайн/ онлайн в высших учебных заведениях Казахстана, дальнего и ближнего зарубежья. В рамках повышения квалификации преподаватели кафедры углубляют свои знания в области современной лингвистики; изучают проблемы организации </w:t>
      </w:r>
      <w:proofErr w:type="spellStart"/>
      <w:r>
        <w:rPr>
          <w:rFonts w:ascii="Times New Roman" w:eastAsia="Times New Roman" w:hAnsi="Times New Roman" w:cs="Times New Roman"/>
          <w:sz w:val="24"/>
        </w:rPr>
        <w:t>полиязычного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образования в условиях ДОТ; знакомятся с современными проблемами перевода; обсуждают методы </w:t>
      </w:r>
      <w:proofErr w:type="spellStart"/>
      <w:r>
        <w:rPr>
          <w:rFonts w:ascii="Times New Roman" w:eastAsia="Times New Roman" w:hAnsi="Times New Roman" w:cs="Times New Roman"/>
          <w:sz w:val="24"/>
        </w:rPr>
        <w:t>студентоориентированного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обучения в университете; практикуют новейшие методы преподавания английского, немецкого и французского языков в организациях образования. Так, средний процентный показатель прошедших повышение квалификации за последние 5 лет составляет 71,6%.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Наблюдается активность в публикации научных исследований в рецензируемых журналах базы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в журналах, рекомендованных КОКСНВО (5.4.b). Так за последние 3 года ППС кафедры опубликовано всего 11 статей в рецензируемых журналах базы </w:t>
      </w:r>
      <w:proofErr w:type="spellStart"/>
      <w:r>
        <w:rPr>
          <w:rFonts w:ascii="Times New Roman" w:eastAsia="Times New Roman" w:hAnsi="Times New Roman" w:cs="Times New Roman"/>
          <w:sz w:val="24"/>
        </w:rPr>
        <w:t>WoS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(в 2022 г. - 3; в 2023 г. – 6; в 2024 г. - 2); в журналах, рекомендованных КОКСНВО РК за последние 3 года опубликовано – 29 статей; 2 монографии (</w:t>
      </w:r>
      <w:proofErr w:type="spellStart"/>
      <w:r>
        <w:rPr>
          <w:rFonts w:ascii="Times New Roman" w:eastAsia="Times New Roman" w:hAnsi="Times New Roman" w:cs="Times New Roman"/>
          <w:sz w:val="24"/>
        </w:rPr>
        <w:t>Дуйсекова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К.К., </w:t>
      </w:r>
      <w:proofErr w:type="spellStart"/>
      <w:r>
        <w:rPr>
          <w:rFonts w:ascii="Times New Roman" w:eastAsia="Times New Roman" w:hAnsi="Times New Roman" w:cs="Times New Roman"/>
          <w:sz w:val="24"/>
        </w:rPr>
        <w:t>Бижкенова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А.Е.), учебное пособие - 1 (</w:t>
      </w:r>
      <w:proofErr w:type="spellStart"/>
      <w:r>
        <w:rPr>
          <w:rFonts w:ascii="Times New Roman" w:eastAsia="Times New Roman" w:hAnsi="Times New Roman" w:cs="Times New Roman"/>
          <w:sz w:val="24"/>
        </w:rPr>
        <w:t>Бижкенова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А.Е., </w:t>
      </w:r>
      <w:proofErr w:type="spellStart"/>
      <w:r>
        <w:rPr>
          <w:rFonts w:ascii="Times New Roman" w:eastAsia="Times New Roman" w:hAnsi="Times New Roman" w:cs="Times New Roman"/>
          <w:sz w:val="24"/>
        </w:rPr>
        <w:t>Кенжетаева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Г.К.)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(критерий 5.4.b).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Представленные организацией образования документы подтверждают проведение международных научно-методических семинаров, конференций, формирование профессиональной и научной среды (призовые места в Республиканском конкурсе НИРС, в конкурсе экологических акций в рамках научного проекта, в Республиканской олимпиаде среди студентов вузов Республики Казахстан).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Вместе с тем наблюдается низкая активность в плане получения патентов по результатам НИР, а также публикации учебников, учебных пособий на английском языке, в том числе электронных.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00"/>
        </w:rPr>
      </w:pPr>
      <w:r>
        <w:rPr>
          <w:rFonts w:ascii="Times New Roman" w:eastAsia="Times New Roman" w:hAnsi="Times New Roman" w:cs="Times New Roman"/>
          <w:sz w:val="24"/>
        </w:rPr>
        <w:t xml:space="preserve">Эксперты ознакомились с материально-технической базой ОП 7М02310 – </w:t>
      </w:r>
    </w:p>
    <w:p w:rsidR="00E25225" w:rsidRDefault="00777F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«Иностранная филология». Во время визита экспертами был посещена одна база практики: кафедра иностранных языков ЕАГИ.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Данная база практики принимает магистрантов как на педагогическую, так и на исследовательскую виды практик. В ходе педагогической практики магистранты проводят практические/лекционные занятия на бакалавриате. В ходе исследовательской практики магистранты активно посещают семинары/вебинары, организуемые кафедрой иностранных языков ЕАГИ. Получают консультации ведущих ученых от базы практики по теме исследования, приобретают навыки выполнения диссертационных исследований, </w:t>
      </w:r>
      <w:r w:rsidR="000163A7">
        <w:rPr>
          <w:rFonts w:ascii="Times New Roman" w:eastAsia="Times New Roman" w:hAnsi="Times New Roman" w:cs="Times New Roman"/>
          <w:sz w:val="24"/>
        </w:rPr>
        <w:t>согласно</w:t>
      </w:r>
      <w:r w:rsidR="000163A7">
        <w:rPr>
          <w:rFonts w:ascii="Times New Roman" w:eastAsia="Times New Roman" w:hAnsi="Times New Roman" w:cs="Times New Roman"/>
          <w:sz w:val="24"/>
          <w:lang w:val="kk-KZ"/>
        </w:rPr>
        <w:t xml:space="preserve"> </w:t>
      </w:r>
      <w:r w:rsidR="000163A7">
        <w:rPr>
          <w:rFonts w:ascii="Times New Roman" w:eastAsia="Times New Roman" w:hAnsi="Times New Roman" w:cs="Times New Roman"/>
          <w:sz w:val="24"/>
        </w:rPr>
        <w:t>требованиям</w:t>
      </w:r>
      <w:r>
        <w:rPr>
          <w:rFonts w:ascii="Times New Roman" w:eastAsia="Times New Roman" w:hAnsi="Times New Roman" w:cs="Times New Roman"/>
          <w:sz w:val="24"/>
        </w:rPr>
        <w:t xml:space="preserve"> написания научно-исследовательских работ, готовят и публикуют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статьи (не менее 2-х статей) за период практики. Руководит практикой магистрантов (ЕАГИ) – </w:t>
      </w:r>
      <w:proofErr w:type="spellStart"/>
      <w:r>
        <w:rPr>
          <w:rFonts w:ascii="Times New Roman" w:eastAsia="Times New Roman" w:hAnsi="Times New Roman" w:cs="Times New Roman"/>
          <w:sz w:val="24"/>
        </w:rPr>
        <w:t>к.п.н</w:t>
      </w:r>
      <w:proofErr w:type="spellEnd"/>
      <w:r>
        <w:rPr>
          <w:rFonts w:ascii="Times New Roman" w:eastAsia="Times New Roman" w:hAnsi="Times New Roman" w:cs="Times New Roman"/>
          <w:sz w:val="24"/>
        </w:rPr>
        <w:t>., доцент Волкова Л. В.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Проведено 8 интервью с представителями работодателей (33), выпускников (43), студентов (114), ППС (70), деканами (5), заведующими кафедр (21), руководителями структурных подразделений (24), проректорами (6), ректором. Охват – 317 человек.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Встречи с целевыми группами проходили в соответствии с программой визита, с соблюдением установленных временных промежутков. Со стороны коллектива университета имени Л.Н. Гумилева было обеспечено присутствие 100% заявленных в программе визита.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На встрече с Председателем правления – Ректора университета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Сыдыковым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Е.Б. экспертная группа была ознакомлена с приоритетными направлениями деятельности университета, с целями и задачами развития, были освещены вопросы о статусе университета как исследовательского, качестве и обновлении ОП, создании современных лабораторий, увеличения финансирования научных проектов, строительстве общежитий и др.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На встрече с проректорским корпусом университета были обсуждены вопросы политики обеспечения качества, частотность обновления ОП, механизмы и процедура утверждения ОП, вопросы профориентационной работы и трудоустройства. В ходе интервью с проректорами подтвердилось, что вуз ориентирован на расширение международного сотрудничества с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ОшГУ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, МГИМО, МГУ и др., на открытие современных лабораторий (лаборатория Искусственного интеллекта). Большое внимание уделяется личностному развитию обучающихся, материальной поддержке обучающихся из социально-уязвимых слоев населения, для волонтеров, имеются условия для инклюзивного образования. Обучающиеся имеют возможность участвовать в разработке ОП, в студенческом самоуправлении; имеют возможность быть избранными в качестве члена Ученого Совета, бюджетного комитета, технического Совета. В вузе принята социальная политика, подписаны меморандумы с санаториями Казахстана, имеется база отдыха в Зеренде.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 ходе интервью выяснилось, что также и ППС оказывается социальная поддержка. В университете действует центры психологической поддержки и инклюзивного образования. Принята социальная политика.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Интервью с руководителями структурных подразделений подтвердило, что функционируют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спортсекции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, кружки разных направлений, развито волонтерское движение.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Индикаторами успешности ОП являются рейтинги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», НААР, QS. Согласно представленным данным, 90% ОП университета заняли призовые места в рейтинге НААР. Согласно рейтингу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» 15 ОП из 49 заняли 1 место, 30 ОП – призовые места. ОП 7М02310 - «Иностранная филология» занимает лидирующие позиции в рейтингах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» и НААР. 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Встреча с ППС продемонстрировала, что преподаватели активно участвуют в разработке и актуализации ОП. К разработке ОП привлекаются также обучающиеся и стейкхолдеры, которые вносят предложения по обновлению содержания образовательных программ. Так, с учетом предложений студентов и работодателей в ОП «</w:t>
      </w:r>
      <w:r>
        <w:rPr>
          <w:rFonts w:ascii="Times New Roman" w:eastAsia="Times New Roman" w:hAnsi="Times New Roman" w:cs="Times New Roman"/>
          <w:color w:val="000000"/>
          <w:sz w:val="24"/>
        </w:rPr>
        <w:t>7М02310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– Иностранная филология» внесены такие дисциплины, как "Ораторское мастерство", "Экология языка".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 рамках интернационализации как обучающиеся, так и ППС активно участвуют в программах академической мобильности и выезжают в страны ближнего и дальнего зарубежья. Кафедра Иностранной филологии принимает также зарубежных студентов и преподавателей в рамках академической мобильности и научной стажировки.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Интервью с магистрантами показало, что они удовлетворены процессом обучения, материально-технической базой, квалификацией преподавателей. Магистранты отметили,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lastRenderedPageBreak/>
        <w:t xml:space="preserve">что они принимают активное участие в работе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Академсовета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ОП и вовлекаются в процесс разработки образовательных программ. Наиболее полезными они назвали научный кружок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Philologist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, приобщающий их к научной деятельности: написанию статей, участию в конференциях и др. Магистранты ОП активны в различных мероприятиях культурного, воспитательного и научного характера (конкурсах, кружках по интересам, олимпиадах и др.). В университете развито волонтерское движение «ENU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Volunteers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», направленное на привлечение студентов к социальной и общественной работе. В вузе создана инклюзивная среда, оказывается помощь малоимущим. Во время паводков обучающимися были собраны списки студентов, чьи семьи пострадали от стихии.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Вместе с тем обучающиеся отметили, что в 5-ом корпусе отсутствует коворкинг площадка для развития творческого мышления и креативных навыков. Также магистранты указали на тот факт, что занятия по определенным дисциплинам, требующим применения технических средств, проводятся в неприспособленных аудиториях.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 ходе интервью выпускники показали удовлетворенность знаниями, полученными в вузе, благодаря которым они смогли трудоустроится и успешны в своей сфере. Они проявили стремление более тесного взаимодействия с руководством ОП с целью рекомендаций для усиления и совершенствования работы образовательных программ. В этой связи ЭГ рекомендует рассмотреть возможность по налаживанию и разработке постоянных механизмов взаимодействия и тесного сотрудничества с выпускниками, как важными стейкхолдерами образовательных программ и активизировать работу Ассоциации выпускников университета с разработкой плана работ и постоянных действующих механизмов взаимодействия.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Вместе с тем выпускники ОП указали на недостаточность практических навыков, навыков коммуникации и методической подготовки в начале своей трудовой деятельности.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Работодатели убедительно продемонстрировали тесную связь с руководством ОП, свое участие в процессе обсуждения и разработки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МОПов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. Например, дисциплина «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Прагмалингвистика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» была предложена работодателями.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процедурой аккредитации было проведено </w:t>
      </w:r>
      <w:r>
        <w:rPr>
          <w:rFonts w:ascii="Times New Roman" w:eastAsia="Times New Roman" w:hAnsi="Times New Roman" w:cs="Times New Roman"/>
          <w:b/>
          <w:sz w:val="24"/>
        </w:rPr>
        <w:t xml:space="preserve">анкетирование </w:t>
      </w:r>
      <w:r>
        <w:rPr>
          <w:rFonts w:ascii="Times New Roman" w:eastAsia="Times New Roman" w:hAnsi="Times New Roman" w:cs="Times New Roman"/>
          <w:sz w:val="24"/>
        </w:rPr>
        <w:t>преподавателей и обучающихся (студентов, магистрантов и докторантов).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АНКЕТА «УДОВЛЕТВОРЕННОСТЬ СТУДЕНТОВ ОО»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Результаты опроса следующие.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100% - 90% студентов удовлетворены доступностью Интернета студентам в вузе организацией, использованием элементов наглядности и техническими средствами обучения,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информированностью об изменениях в учебном процессе.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90% - 80% студентов удовлетворены различными сторонами учебного процесса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(содержание занятий), информированностью об изменениях в учебном процессе, обеспеченностью различными информационными справочниками, креативностью и активностью на занятиях преподавателей на занятиях, проведением профессиональных практик, количеством мест в читальном зале.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80 - 70% студенты удовлетворены условиями проживания в общежитии, доступностью Интернета в вузе, использованием элементов наглядности и технических средств обучения, наличием необходимой учебной литературы в библиотеке, количеством компьютеров, используемых в учебном процессе.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Студентами сделаны следующие предложения: уменьшить количество изучаемых дисциплин, особенно общеобразовательного цикла, увеличить количество элективных дисциплин, так как выбор там мнимый, оборудовать Коворкинг спейс в 5 корпусе, обеспечить большее взаимодействие с носителями языка, решить проблемы с окнами в кабинетах (механизм открывания часто сломан), больше различных идей для привлечения внимания, интереса студентов на уроках. Хотелось бы, чтобы в университете были места для отдыха, такие как пуфики и другие развлекательные уголки. Порой нам, студентам,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приходится находиться в университете больше 5 часов из-за нестабильного расписания(окошки). </w:t>
      </w:r>
    </w:p>
    <w:p w:rsidR="00E25225" w:rsidRDefault="00777FE8">
      <w:pPr>
        <w:numPr>
          <w:ilvl w:val="0"/>
          <w:numId w:val="2"/>
        </w:numPr>
        <w:spacing w:after="0" w:line="240" w:lineRule="auto"/>
        <w:ind w:firstLine="585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Академиялық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ұтқырлыққа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тіл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деңгейін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тестін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анықтауда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ТКТ </w:t>
      </w:r>
      <w:proofErr w:type="spellStart"/>
      <w:r>
        <w:rPr>
          <w:rFonts w:ascii="Times New Roman" w:eastAsia="Times New Roman" w:hAnsi="Times New Roman" w:cs="Times New Roman"/>
          <w:sz w:val="24"/>
        </w:rPr>
        <w:t>тестін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қосуды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ұсынамын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E25225" w:rsidRDefault="00777FE8">
      <w:pPr>
        <w:numPr>
          <w:ilvl w:val="0"/>
          <w:numId w:val="2"/>
        </w:numPr>
        <w:spacing w:after="0" w:line="240" w:lineRule="auto"/>
        <w:ind w:firstLine="58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sz w:val="24"/>
        </w:rPr>
        <w:t>шет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тілі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мамандығы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бойынша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 курс </w:t>
      </w:r>
      <w:proofErr w:type="spellStart"/>
      <w:r>
        <w:rPr>
          <w:rFonts w:ascii="Times New Roman" w:eastAsia="Times New Roman" w:hAnsi="Times New Roman" w:cs="Times New Roman"/>
          <w:sz w:val="24"/>
        </w:rPr>
        <w:t>кезінде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ағылшын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тілі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сабақтарын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көбейтіп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практиканы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азайту.Менің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ойымша,1-2 </w:t>
      </w:r>
      <w:proofErr w:type="spellStart"/>
      <w:r>
        <w:rPr>
          <w:rFonts w:ascii="Times New Roman" w:eastAsia="Times New Roman" w:hAnsi="Times New Roman" w:cs="Times New Roman"/>
          <w:sz w:val="24"/>
        </w:rPr>
        <w:t>курста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практика </w:t>
      </w:r>
      <w:proofErr w:type="spellStart"/>
      <w:r>
        <w:rPr>
          <w:rFonts w:ascii="Times New Roman" w:eastAsia="Times New Roman" w:hAnsi="Times New Roman" w:cs="Times New Roman"/>
          <w:sz w:val="24"/>
        </w:rPr>
        <w:t>мүлдем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қажет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емес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3 </w:t>
      </w:r>
      <w:proofErr w:type="spellStart"/>
      <w:r>
        <w:rPr>
          <w:rFonts w:ascii="Times New Roman" w:eastAsia="Times New Roman" w:hAnsi="Times New Roman" w:cs="Times New Roman"/>
          <w:sz w:val="24"/>
        </w:rPr>
        <w:t>курста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</w:rPr>
        <w:t>апта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пассивті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қалған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уақытта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активті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практиканы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іске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қосса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яғни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4 курс </w:t>
      </w:r>
      <w:proofErr w:type="spellStart"/>
      <w:r>
        <w:rPr>
          <w:rFonts w:ascii="Times New Roman" w:eastAsia="Times New Roman" w:hAnsi="Times New Roman" w:cs="Times New Roman"/>
          <w:sz w:val="24"/>
        </w:rPr>
        <w:t>толықтай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практикаға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уақыт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бөлуге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болатындай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E25225" w:rsidRPr="000163A7" w:rsidRDefault="00777FE8" w:rsidP="000163A7">
      <w:pPr>
        <w:numPr>
          <w:ilvl w:val="0"/>
          <w:numId w:val="2"/>
        </w:numPr>
        <w:spacing w:after="0" w:line="240" w:lineRule="auto"/>
        <w:ind w:firstLine="58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 курс </w:t>
      </w:r>
      <w:proofErr w:type="spellStart"/>
      <w:r>
        <w:rPr>
          <w:rFonts w:ascii="Times New Roman" w:eastAsia="Times New Roman" w:hAnsi="Times New Roman" w:cs="Times New Roman"/>
          <w:sz w:val="24"/>
        </w:rPr>
        <w:t>кезінде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ағылшын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тілін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оқыту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сабақтарын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көбейту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себебі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 семестр </w:t>
      </w:r>
      <w:proofErr w:type="spellStart"/>
      <w:r>
        <w:rPr>
          <w:rFonts w:ascii="Times New Roman" w:eastAsia="Times New Roman" w:hAnsi="Times New Roman" w:cs="Times New Roman"/>
          <w:sz w:val="24"/>
        </w:rPr>
        <w:t>кезінде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бізде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ағылшыш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тілі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сабағы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мүлдем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болмады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және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тіл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біліміне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аса </w:t>
      </w:r>
      <w:proofErr w:type="spellStart"/>
      <w:r>
        <w:rPr>
          <w:rFonts w:ascii="Times New Roman" w:eastAsia="Times New Roman" w:hAnsi="Times New Roman" w:cs="Times New Roman"/>
          <w:sz w:val="24"/>
        </w:rPr>
        <w:t>зер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салу, </w:t>
      </w:r>
      <w:proofErr w:type="spellStart"/>
      <w:r>
        <w:rPr>
          <w:rFonts w:ascii="Times New Roman" w:eastAsia="Times New Roman" w:hAnsi="Times New Roman" w:cs="Times New Roman"/>
          <w:sz w:val="24"/>
        </w:rPr>
        <w:t>яғни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студенттерді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тіл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деңгейі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бойынша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бөлу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Анкета Удовлетворенности ППС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Результаты опроса следующие.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100% - 90% ППС удовлетворены условиями труда по следующему критерию: участие в управлении ОП (доступность информации); удовлетворены ценностями, миссией, видением, политикой и стратегией вуза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90% - 80% ППС удовлетворены условиями труда по следующему критерию: Участие в управлении ОП (Полномочия и объем занятости); условиями труда по следующему критерию: участие в управлении оп (участие в принятии решений); условиями труда по следующему критерию: участие в управлении ОП (удовлетворенность переменами и их внедрением); условиями труда по следующему критерию: развитие потенциала (карьерный рост); условиями труда по следующему критерию: развитие потенциала (возможность к развитию и совершенствованию); психологическим климатом в коллективе (отношение со стороны руководства,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отношения в коллективе); социальными вопросами (условия найма); охраной здоровья, безопасностью труда; гарантией занятости; удовлетворены деятельностью руководства вуза; удовлетворены ролью вуза в жизни общества.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80% - 70% ППС удовлетворены условиями труда по следующему критерию: Социальные вопросы (Равные возможности).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57,14% ППС удовлетворены оплатой труда.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Дополнительные комментарии</w:t>
      </w:r>
      <w:proofErr w:type="gramStart"/>
      <w:r>
        <w:rPr>
          <w:rFonts w:ascii="Times New Roman" w:eastAsia="Times New Roman" w:hAnsi="Times New Roman" w:cs="Times New Roman"/>
          <w:sz w:val="24"/>
        </w:rPr>
        <w:t>: Очень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большая общественная нагрузка на кафедре и факультете, </w:t>
      </w:r>
      <w:proofErr w:type="spellStart"/>
      <w:r>
        <w:rPr>
          <w:rFonts w:ascii="Times New Roman" w:eastAsia="Times New Roman" w:hAnsi="Times New Roman" w:cs="Times New Roman"/>
          <w:sz w:val="24"/>
        </w:rPr>
        <w:t>обьем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педнагрузки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надо сокращать докторам наук; в последние годы наблюдаются качественные изменения во всех процессах деятельности университета, надеемся на закрепление перемен и их развитие только в положительном ключе!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Таким образом, анализ проведенного анкетирования показал, что ППС в целом удовлетворены условиями труда, психологическим климатом в коллективе, социальными вопросами, деятельностью руководства вуза.</w:t>
      </w:r>
    </w:p>
    <w:p w:rsidR="00E25225" w:rsidRDefault="00E252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ОБЩАЯ ХАРАКТЕРИСТИКА ОБРАЗОВАТЕЛЬНОЙ ПРОГРАММЫ</w:t>
      </w:r>
    </w:p>
    <w:p w:rsidR="00E25225" w:rsidRDefault="00E252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Филологический факультет был образован на основе реорганизации историко-филологического факультета согласно приказу ректора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 33-n от 10 февраля 2009 года.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Кафедра «Иностранная филология» является</w:t>
      </w:r>
      <w:r>
        <w:rPr>
          <w:rFonts w:ascii="Times New Roman" w:eastAsia="Times New Roman" w:hAnsi="Times New Roman" w:cs="Times New Roman"/>
          <w:sz w:val="24"/>
        </w:rPr>
        <w:t xml:space="preserve"> структурным подразделением филологического факультета, в </w:t>
      </w:r>
      <w:r>
        <w:rPr>
          <w:rFonts w:ascii="Times New Roman" w:eastAsia="Times New Roman" w:hAnsi="Times New Roman" w:cs="Times New Roman"/>
          <w:color w:val="000000"/>
          <w:sz w:val="24"/>
        </w:rPr>
        <w:t>реализующая ОП 7М02310 - «Иностранная филология».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Профессорско-преподавательский состав, реализующий ОП, сформирован из высококвалифицированных кадров, известных ученых, докторов и кандидатов наук, профессоров и доцентов,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преподавателей, имеющие большой стаж педагогической и научно-практической деятельности. В настоящее время по ОП профессорско-преподавательский состав включает 20 штатных и 1 внештатного профессора-совместителя. Из них 2 доктора филологических наук, профессора и 1 доктор педагогических наук (совместитель), профессор. Кандидаты филологических наук,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профессор - 1, кандидаты филологических наук, доценты – 2, кандидаты филологических наук, </w:t>
      </w:r>
      <w:proofErr w:type="spellStart"/>
      <w:r>
        <w:rPr>
          <w:rFonts w:ascii="Times New Roman" w:eastAsia="Times New Roman" w:hAnsi="Times New Roman" w:cs="Times New Roman"/>
          <w:sz w:val="24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доценты - 2,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- 5 (из них </w:t>
      </w:r>
      <w:proofErr w:type="spellStart"/>
      <w:r>
        <w:rPr>
          <w:rFonts w:ascii="Times New Roman" w:eastAsia="Times New Roman" w:hAnsi="Times New Roman" w:cs="Times New Roman"/>
          <w:sz w:val="24"/>
        </w:rPr>
        <w:t>и.о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доцента -2, старшие преподаватели - 3), магистры, ст. преподаватели - 8.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Остепененность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ППС по направлению подготовки составляет 64%.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 значительным достижениям ОП </w:t>
      </w:r>
      <w:r>
        <w:rPr>
          <w:rFonts w:ascii="Times New Roman" w:eastAsia="Times New Roman" w:hAnsi="Times New Roman" w:cs="Times New Roman"/>
          <w:b/>
          <w:sz w:val="24"/>
        </w:rPr>
        <w:t>«</w:t>
      </w:r>
      <w:r>
        <w:rPr>
          <w:rFonts w:ascii="Times New Roman" w:eastAsia="Times New Roman" w:hAnsi="Times New Roman" w:cs="Times New Roman"/>
          <w:sz w:val="24"/>
        </w:rPr>
        <w:t>7М02310 – Иностранная филология относится тот факт, что на протяжении последних рейтингов образовательных программ НПП «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sz w:val="24"/>
        </w:rPr>
        <w:t>», рейтинга НААР занимает лидирующие позиции.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Важным показателем достижений ППС кафедры является также наличие собственных исследований в области методики преподавания учебных дисциплин ОП. За период 2021-2024 годы ППС кафедры издал: единиц учебных пособий (1) и учебно-методических комплексов дисциплин на немецком языке (4). Имеются научные публикации в международных научных изданиях </w:t>
      </w:r>
      <w:proofErr w:type="spellStart"/>
      <w:r>
        <w:rPr>
          <w:rFonts w:ascii="Times New Roman" w:eastAsia="Times New Roman" w:hAnsi="Times New Roman" w:cs="Times New Roman"/>
          <w:sz w:val="24"/>
        </w:rPr>
        <w:t>Web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Science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(2), в международных научных изданиях </w:t>
      </w:r>
      <w:proofErr w:type="spellStart"/>
      <w:r>
        <w:rPr>
          <w:rFonts w:ascii="Times New Roman" w:eastAsia="Times New Roman" w:hAnsi="Times New Roman" w:cs="Times New Roman"/>
          <w:sz w:val="24"/>
        </w:rPr>
        <w:t>Scopus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(9), ККСОН (29), монографии (2), научные стажировки за рубежом (4). Вместе с тем, не издаются электронные учебники, учебно-методические комплексы дисциплин на английском языке. 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кафедре реализуется научный проект «Языковая мода в моделировании лингвистического ландшафта Казахстана» преподавателя кафедры </w:t>
      </w:r>
      <w:proofErr w:type="spellStart"/>
      <w:r>
        <w:rPr>
          <w:rFonts w:ascii="Times New Roman" w:eastAsia="Times New Roman" w:hAnsi="Times New Roman" w:cs="Times New Roman"/>
          <w:sz w:val="24"/>
        </w:rPr>
        <w:t>PhD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А. Ш. </w:t>
      </w:r>
      <w:proofErr w:type="spellStart"/>
      <w:r>
        <w:rPr>
          <w:rFonts w:ascii="Times New Roman" w:eastAsia="Times New Roman" w:hAnsi="Times New Roman" w:cs="Times New Roman"/>
          <w:sz w:val="24"/>
        </w:rPr>
        <w:t>Акжигитовой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 грантовым финансированием от </w:t>
      </w:r>
      <w:proofErr w:type="spellStart"/>
      <w:r>
        <w:rPr>
          <w:rFonts w:ascii="Times New Roman" w:eastAsia="Times New Roman" w:hAnsi="Times New Roman" w:cs="Times New Roman"/>
          <w:sz w:val="24"/>
        </w:rPr>
        <w:t>МНиВО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РК.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Кафедра также осуществляет фундаментальные, научно-практические, научно-методические исследования, оказывает информационные, консультационные услуги организациям и предприятиям, разрабатывает и внедряет инновационные технологии в учебный процесс.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повышения качества </w:t>
      </w:r>
      <w:proofErr w:type="spellStart"/>
      <w:r>
        <w:rPr>
          <w:rFonts w:ascii="Times New Roman" w:eastAsia="Times New Roman" w:hAnsi="Times New Roman" w:cs="Times New Roman"/>
          <w:sz w:val="24"/>
        </w:rPr>
        <w:t>качества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аккредитуемой программы руководство ОП 7М02310 - «Иностранная филология» разрабатывает и на регулярной основе модернизирует содержание образовательной программы: обновляются предметы профилирующего профессионального цикла и базовые дисциплины на изучаемом иностранном языке, что отражается в </w:t>
      </w:r>
      <w:proofErr w:type="spellStart"/>
      <w:r>
        <w:rPr>
          <w:rFonts w:ascii="Times New Roman" w:eastAsia="Times New Roman" w:hAnsi="Times New Roman" w:cs="Times New Roman"/>
          <w:sz w:val="24"/>
        </w:rPr>
        <w:t>силлабусах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каталогах элективных дисциплин. Так, в ОП 2024–2025 года кафедра вносит изменения такого плана, как укрупнение предметов элективного цикла, а также вносит новый предмет по изучению искусственного интеллекта. Кафедра старается создать все предпосылки для успешной интеграции учебной деятельности и фундаментальных научных исследований ППС с ориентацией на подготовку кадров гуманитарного профиля.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Особое внимание уделяется внешней оценке учебных образовательных программ, а также качеству подготовки выпускников организации учебного процесса с учетом требований работодателей, перспективных потребностей сферы труда.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Обучение проводится на государственном и русском языках.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реализации образовательной программы 7М02310 - «Иностранная филология» на кафедре имеются специализированные кабинеты, оснащенные по современным требованиям. Компьютерный парк, используемый в учебном процессе, составляет в общей сложности 19 единиц.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кафедре функционирует научный кружок «</w:t>
      </w:r>
      <w:proofErr w:type="spellStart"/>
      <w:r>
        <w:rPr>
          <w:rFonts w:ascii="Times New Roman" w:eastAsia="Times New Roman" w:hAnsi="Times New Roman" w:cs="Times New Roman"/>
          <w:sz w:val="24"/>
        </w:rPr>
        <w:t>Philologist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», где обучающиеся под руководством ППС проводят исследовательские работы, с докладами участвуют в научных семинарах и конференциях. </w:t>
      </w: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Для реализации ОП кафедра «Иностранная филология» имеет тесные научные связи как с отечественными, так и зарубежными вузами: с </w:t>
      </w:r>
      <w:proofErr w:type="spellStart"/>
      <w:r>
        <w:rPr>
          <w:rFonts w:ascii="Times New Roman" w:eastAsia="Times New Roman" w:hAnsi="Times New Roman" w:cs="Times New Roman"/>
          <w:sz w:val="24"/>
        </w:rPr>
        <w:t>Великотырновским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университетом им. Святых Кирилла и </w:t>
      </w:r>
      <w:proofErr w:type="spellStart"/>
      <w:r>
        <w:rPr>
          <w:rFonts w:ascii="Times New Roman" w:eastAsia="Times New Roman" w:hAnsi="Times New Roman" w:cs="Times New Roman"/>
          <w:sz w:val="24"/>
        </w:rPr>
        <w:t>Мифодия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Болгария; университетом г. Эрфурт, Германия; БГПУ им. </w:t>
      </w:r>
      <w:proofErr w:type="spellStart"/>
      <w:r>
        <w:rPr>
          <w:rFonts w:ascii="Times New Roman" w:eastAsia="Times New Roman" w:hAnsi="Times New Roman" w:cs="Times New Roman"/>
          <w:sz w:val="24"/>
        </w:rPr>
        <w:t>Акмуллы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Минским государственным лингвистическим университетом (Беларусь), Северо-Восточным федеральным университетом им. </w:t>
      </w:r>
      <w:proofErr w:type="spellStart"/>
      <w:r>
        <w:rPr>
          <w:rFonts w:ascii="Times New Roman" w:eastAsia="Times New Roman" w:hAnsi="Times New Roman" w:cs="Times New Roman"/>
          <w:sz w:val="24"/>
        </w:rPr>
        <w:t>Аммомова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(Якутия).</w:t>
      </w:r>
    </w:p>
    <w:p w:rsidR="00E25225" w:rsidRDefault="00E252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</w:rPr>
      </w:pPr>
    </w:p>
    <w:p w:rsidR="00E25225" w:rsidRDefault="00E252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</w:p>
    <w:p w:rsidR="000163A7" w:rsidRDefault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</w:p>
    <w:p w:rsidR="00E25225" w:rsidRDefault="00777F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  <w:lastRenderedPageBreak/>
        <w:t xml:space="preserve">3. Аналитическая часть </w:t>
      </w:r>
    </w:p>
    <w:p w:rsidR="00E25225" w:rsidRDefault="00E25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3.1. Анализ окончательной редакции Отчета с указанием нереализованных рекомендаций эксперта</w:t>
      </w:r>
    </w:p>
    <w:p w:rsidR="00E25225" w:rsidRDefault="00E25225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4"/>
        </w:rPr>
        <w:t xml:space="preserve">Глава 1 «Реализация политики обеспечения качества»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E25225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E25225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представить доказательства достижений на международном уровне пункт 3с;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E25225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представить в качестве примера ссылку об информировании общественности в социальных сетях о запланированных или предпринятых действиях в отношении ОП пункт 3d.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E25225" w:rsidRDefault="00E25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</w:rPr>
      </w:pPr>
    </w:p>
    <w:p w:rsidR="00E25225" w:rsidRDefault="00777FE8" w:rsidP="000163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3"/>
        </w:rPr>
        <w:t xml:space="preserve">Глава 2 «Образовательные программы: разработка и утверждение»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E25225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E25225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представить информацию об академической мобильности пункт 4а;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E25225" w:rsidRDefault="00E25225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>Глава 3 «</w:t>
      </w:r>
      <w:proofErr w:type="spellStart"/>
      <w:r>
        <w:rPr>
          <w:rFonts w:ascii="Times New Roman" w:eastAsia="Times New Roman" w:hAnsi="Times New Roman" w:cs="Times New Roman"/>
          <w:sz w:val="23"/>
        </w:rPr>
        <w:t>Студентоцентрированное</w:t>
      </w:r>
      <w:proofErr w:type="spellEnd"/>
      <w:r>
        <w:rPr>
          <w:rFonts w:ascii="Times New Roman" w:eastAsia="Times New Roman" w:hAnsi="Times New Roman" w:cs="Times New Roman"/>
          <w:sz w:val="23"/>
        </w:rPr>
        <w:t xml:space="preserve"> обучение, преподавание и оценка успеваемости»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E25225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>Реализация</w:t>
            </w:r>
          </w:p>
        </w:tc>
      </w:tr>
      <w:tr w:rsidR="00E25225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раскрыть критерий согласно пункту 1.g;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E25225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удалить информацию о трудоустройстве выпускников и таблицу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1  2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d на странице 33; </w:t>
            </w:r>
          </w:p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представить конкретные примеры по п.3.1.в. (с. 36 п.3.1.в);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E25225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проанализировать ситуацию, связанную с реагированием на замечания и предложения обучающихся по результатам анкетирования;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E25225" w:rsidRDefault="00E25225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Глава 4 «Студенты: прием, сопровождение учебных достижений, сертификация»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5"/>
        <w:gridCol w:w="1844"/>
      </w:tblGrid>
      <w:tr w:rsidR="00E25225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ind w:firstLine="24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 w:rsidP="000163A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E25225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отредактировать текст, убрать повторяющуюся информацию пункт 1e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на 49-ой странице 1-ый абзац;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 w:rsidP="000163A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E25225">
        <w:trPr>
          <w:trHeight w:val="1"/>
        </w:trPr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tabs>
                <w:tab w:val="left" w:pos="84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указать актуальные ссылки о проведенных мероприятиях пункт 1b на странице 41;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 w:rsidP="000163A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E25225" w:rsidRDefault="00E25225">
      <w:pPr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E25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5 «</w:t>
      </w:r>
      <w:r>
        <w:rPr>
          <w:rFonts w:ascii="Times New Roman" w:eastAsia="Times New Roman" w:hAnsi="Times New Roman" w:cs="Times New Roman"/>
          <w:b/>
          <w:sz w:val="24"/>
        </w:rPr>
        <w:t>Профессорско-преподавательский состав</w:t>
      </w:r>
      <w:r>
        <w:rPr>
          <w:rFonts w:ascii="Times New Roman" w:eastAsia="Times New Roman" w:hAnsi="Times New Roman" w:cs="Times New Roman"/>
          <w:sz w:val="24"/>
        </w:rPr>
        <w:t xml:space="preserve">»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0"/>
        <w:gridCol w:w="2194"/>
      </w:tblGrid>
      <w:tr w:rsidR="00E25225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 w:rsidP="000163A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E25225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отредактировать текст и устранить необъективную информацию пункт 2b на странице 55-56;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 w:rsidP="000163A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E25225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удалить лишнюю информацию пункт 2b на странице 58;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 w:rsidP="000163A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E25225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привести статистические данные по академической мобильности обучающихся.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 w:rsidP="000163A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E25225" w:rsidRDefault="00E25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Глава 6 «</w:t>
      </w:r>
      <w:r>
        <w:rPr>
          <w:rFonts w:ascii="Times New Roman" w:eastAsia="Times New Roman" w:hAnsi="Times New Roman" w:cs="Times New Roman"/>
          <w:b/>
          <w:sz w:val="24"/>
        </w:rPr>
        <w:t>Творческое и личностное развитие студентов</w:t>
      </w:r>
      <w:r>
        <w:rPr>
          <w:rFonts w:ascii="Times New Roman" w:eastAsia="Times New Roman" w:hAnsi="Times New Roman" w:cs="Times New Roman"/>
          <w:sz w:val="24"/>
        </w:rPr>
        <w:t xml:space="preserve">»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0"/>
        <w:gridCol w:w="2194"/>
      </w:tblGrid>
      <w:tr w:rsidR="00E25225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 w:rsidP="000163A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E25225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удалить лишнюю информацию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пункт 2а на странице 71;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 w:rsidP="000163A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E25225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описать информацию по пункту 2с.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 w:rsidP="000163A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E25225" w:rsidRDefault="00E25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E25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Глава 7 «</w:t>
      </w:r>
      <w:r>
        <w:rPr>
          <w:rFonts w:ascii="Times New Roman" w:eastAsia="Times New Roman" w:hAnsi="Times New Roman" w:cs="Times New Roman"/>
          <w:b/>
          <w:sz w:val="24"/>
        </w:rPr>
        <w:t>Постоянный мониторинг и периодическая оценка образовательных программ</w:t>
      </w:r>
      <w:r>
        <w:rPr>
          <w:rFonts w:ascii="Times New Roman" w:eastAsia="Times New Roman" w:hAnsi="Times New Roman" w:cs="Times New Roman"/>
          <w:sz w:val="24"/>
        </w:rPr>
        <w:t xml:space="preserve">»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0"/>
        <w:gridCol w:w="2194"/>
      </w:tblGrid>
      <w:tr w:rsidR="00E25225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 w:rsidP="000163A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E25225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удалить лишнюю информацию на странице 73 пункт 1а;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 w:rsidP="000163A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E25225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 представить результаты социологических исследований сторонних организаций пункт 2а на странице 76.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 w:rsidP="000163A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E25225" w:rsidRDefault="00E25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E25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Глава 8 «Образовательные программы: разработка и утверждение»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0"/>
        <w:gridCol w:w="2194"/>
      </w:tblGrid>
      <w:tr w:rsidR="00E25225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Рекомендация эксперта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 w:rsidP="000163A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Реализация</w:t>
            </w:r>
          </w:p>
        </w:tc>
      </w:tr>
      <w:tr w:rsidR="00E25225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описать информацию по пункту 1g;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 w:rsidP="000163A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  <w:tr w:rsidR="00E25225">
        <w:trPr>
          <w:trHeight w:val="1"/>
        </w:trPr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удалить лишнюю информацию на странице 84-85, 4-5 абзацы.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25" w:rsidRDefault="00777FE8" w:rsidP="000163A7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выполнено</w:t>
            </w:r>
          </w:p>
        </w:tc>
      </w:tr>
    </w:tbl>
    <w:p w:rsidR="00E25225" w:rsidRDefault="00E25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 Анализ соответствия реализации образовательной программы Стандартам ARQA, включающий SWOT-анализ (или анализ сильных и слабых сторон), «Лучшую практику», замечания и рекомендации по каждому критерию Стандартов.</w:t>
      </w:r>
    </w:p>
    <w:p w:rsidR="00E25225" w:rsidRDefault="00E252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Сильные стороны образовательной программы: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Лидирующие позиции ОП в рейтингах 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НААР; высокая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остепененность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ППС; сильная база практики; участие ППС в конкурсе грантового финансирования (ГФ) МНВО РК; востребованность выпускников на рынке труда; активность ППС в повышении квалификации; высокая публикационная активность.  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Слабые стороны образовательной программы:</w:t>
      </w:r>
      <w:r>
        <w:rPr>
          <w:rFonts w:ascii="Times New Roman" w:eastAsia="Times New Roman" w:hAnsi="Times New Roman" w:cs="Times New Roman"/>
          <w:sz w:val="24"/>
        </w:rPr>
        <w:t xml:space="preserve"> отсутствие совместных проектов с международными вузами в области научных исследований; отсутствие электронных учебников.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aps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3.2.2 Соответствие стандартам специализированной аккредитации </w:t>
      </w: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1" w:name="_Hlk170827637"/>
      <w:r>
        <w:rPr>
          <w:rFonts w:ascii="Times New Roman" w:eastAsia="Times New Roman" w:hAnsi="Times New Roman" w:cs="Times New Roman"/>
          <w:b/>
          <w:sz w:val="24"/>
        </w:rPr>
        <w:t xml:space="preserve">По Стандарту 1. «РЕАЛИЗАЦИЯ ПОЛИТИКИ ОБЕСПЕЧЕНИЯ КАЧЕСТВА» </w:t>
      </w: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E25225" w:rsidRPr="00777FE8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2. «ОБРАЗОВАТЕЛЬНЫЕ ПРОГРАММЫ: РАЗРАБОТКА И УТВЕРЖДЕНИЕ»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«Лучшая практика» Лидирующие позиции ОП в рейтингах 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Атамекен</w:t>
      </w:r>
      <w:proofErr w:type="spellEnd"/>
      <w:r>
        <w:rPr>
          <w:rFonts w:ascii="Times New Roman" w:eastAsia="Times New Roman" w:hAnsi="Times New Roman" w:cs="Times New Roman"/>
          <w:sz w:val="24"/>
        </w:rPr>
        <w:t>, НААР.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3. «СТУДЕНТОЦЕНТРИРОВАННОЕ ОБУЧЕНИЕ, ПРЕПОДАВАНИЕ И ОЦЕНКА УСПЕВАЕМОСТИ»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4. «СТУДЕНТЫ: ПРИЕМ, СОПРОВОЖДЕНИЕ УЧЕБНЫХ ДОСТИЖЕНИЙ, СЕРТИФИКАЦИЯ»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Критерий: 4а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отсутствие электронных учебников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разработать электронные учебники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частично соответствует стандарту</w:t>
      </w: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5. «ПРОФЕССОРСКО-ПРЕПОДАВАТЕЛЬСКИЙ СОСТАВ»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«Лучшая практика»: высокая </w:t>
      </w:r>
      <w:proofErr w:type="spellStart"/>
      <w:r>
        <w:rPr>
          <w:rFonts w:ascii="Times New Roman" w:eastAsia="Times New Roman" w:hAnsi="Times New Roman" w:cs="Times New Roman"/>
          <w:sz w:val="24"/>
        </w:rPr>
        <w:t>остепененность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ППС, активность в повышении квалификации; высокая публикационная активность, участие преподавателей в программах академической мобильности.  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Область для улучшения: начать реализацию совместных проектов с международными вузами в области научных исследований.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6. «ТВОРЧЕСКОЕ И ЛИЧНОСТНОЕ РАЗВИТИЕ СТУДЕНТОВ»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Критерий отсутствует 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7. «ПОСТОЯННЫЙ МОНИТОРИНГ И ПЕРИОДИЧЕСКАЯ ОЦЕНКА ОБРАЗОВАТЕЛЬНЫХ ПРОГРАММ»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8-1. «СПЕЦИФИКА ОБРАЗОВАТЕЛЬНОЙ ПРОГРАММЫ ДЛЯ УРОВНЯ БАКАЛАВРИАТА»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Стандарту 9. «ПЕРИОДИЧЕСКИЕ ПРОЦЕДУРЫ ВНЕШНЕЙ ГАРАНТИИ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КАЧЕСТВА»</w:t>
      </w: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Замечание: отсутствует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Рекомендация: отсутствует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Вывод</w:t>
      </w:r>
      <w:r>
        <w:rPr>
          <w:rFonts w:ascii="Times New Roman" w:eastAsia="Times New Roman" w:hAnsi="Times New Roman" w:cs="Times New Roman"/>
          <w:sz w:val="24"/>
        </w:rPr>
        <w:t>: реализация образовательной программы соответствует стандарту</w:t>
      </w: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 xml:space="preserve">4. ЗАКЛЮЧЕНИЕ </w:t>
      </w: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Экспертная группа, по внешней оценке,</w:t>
      </w:r>
      <w:r>
        <w:rPr>
          <w:rFonts w:ascii="Times New Roman" w:eastAsia="Times New Roman" w:hAnsi="Times New Roman" w:cs="Times New Roman"/>
          <w:sz w:val="24"/>
        </w:rPr>
        <w:t xml:space="preserve"> реализации образовательной программы в рамках специализированной аккредитации </w:t>
      </w: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1) считает, что реализация образовательной программы 7М02310 – «Иностранная филология» - соответствует стандартам ARQA;</w:t>
      </w: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777FE8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2) рекомендует Аккредитационному Совету принять решение о полной аккредитации ОП 7М02310 – «Иностранная филология»</w:t>
      </w:r>
      <w:bookmarkEnd w:id="1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E25225" w:rsidRDefault="00E25225" w:rsidP="000163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25225" w:rsidRDefault="00E252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sectPr w:rsidR="00E25225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7FE8" w:rsidRDefault="00777FE8" w:rsidP="00777FE8">
      <w:pPr>
        <w:spacing w:after="0" w:line="240" w:lineRule="auto"/>
      </w:pPr>
      <w:r>
        <w:separator/>
      </w:r>
    </w:p>
  </w:endnote>
  <w:endnote w:type="continuationSeparator" w:id="0">
    <w:p w:rsidR="00777FE8" w:rsidRDefault="00777FE8" w:rsidP="00777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7FE8" w:rsidRDefault="00777FE8" w:rsidP="00777FE8">
      <w:pPr>
        <w:spacing w:after="0" w:line="240" w:lineRule="auto"/>
      </w:pPr>
      <w:r>
        <w:separator/>
      </w:r>
    </w:p>
  </w:footnote>
  <w:footnote w:type="continuationSeparator" w:id="0">
    <w:p w:rsidR="00777FE8" w:rsidRDefault="00777FE8" w:rsidP="00777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FE8" w:rsidRPr="00777FE8" w:rsidRDefault="00777FE8" w:rsidP="00777FE8">
    <w:pPr>
      <w:tabs>
        <w:tab w:val="center" w:pos="4153"/>
        <w:tab w:val="right" w:pos="8306"/>
      </w:tabs>
      <w:spacing w:after="0" w:line="276" w:lineRule="auto"/>
      <w:ind w:left="1040" w:hanging="1040"/>
      <w:jc w:val="both"/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</w:pPr>
    <w:r w:rsidRPr="00777FE8">
      <w:rPr>
        <w:rFonts w:ascii="Calibri" w:eastAsia="Times New Roman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0423237C" wp14:editId="7A3CAFA3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0" t="0" r="6350" b="8255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визитка арка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25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7FE8">
      <w:rPr>
        <w:rFonts w:ascii="Arial" w:eastAsia="Times New Roman" w:hAnsi="Arial" w:cs="Arial"/>
        <w:b/>
        <w:color w:val="007354"/>
        <w:sz w:val="20"/>
        <w:szCs w:val="20"/>
        <w:lang w:val="en-US"/>
      </w:rPr>
      <w:t>ARQA</w:t>
    </w:r>
    <w:r w:rsidRPr="00777FE8">
      <w:rPr>
        <w:rFonts w:ascii="Arial" w:eastAsia="Times New Roman" w:hAnsi="Arial" w:cs="Arial"/>
        <w:b/>
        <w:color w:val="007354"/>
        <w:sz w:val="20"/>
        <w:szCs w:val="20"/>
        <w:lang w:val="kk-KZ"/>
      </w:rPr>
      <w:tab/>
    </w:r>
    <w:r w:rsidRPr="00777FE8">
      <w:rPr>
        <w:rFonts w:ascii="Arial" w:eastAsia="Times New Roman" w:hAnsi="Arial" w:cs="Arial"/>
        <w:b/>
        <w:color w:val="007354"/>
        <w:sz w:val="20"/>
        <w:szCs w:val="20"/>
        <w:lang w:val="kk-KZ"/>
      </w:rPr>
      <w:tab/>
    </w:r>
    <w:r w:rsidRPr="00777FE8">
      <w:rPr>
        <w:rFonts w:ascii="Times New Roman" w:eastAsia="Times New Roman" w:hAnsi="Times New Roman" w:cs="Times New Roman"/>
        <w:bCs/>
        <w:i/>
        <w:iCs/>
        <w:color w:val="007354"/>
        <w:sz w:val="20"/>
        <w:szCs w:val="20"/>
        <w:lang w:val="kk-KZ"/>
      </w:rPr>
      <w:t xml:space="preserve">Отчет </w:t>
    </w:r>
    <w:r w:rsidRPr="00777FE8"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  <w:t xml:space="preserve">по результатам внешней оценки реализации образовательных программ </w:t>
    </w:r>
  </w:p>
  <w:p w:rsidR="00777FE8" w:rsidRPr="00777FE8" w:rsidRDefault="00777FE8" w:rsidP="00777FE8">
    <w:pPr>
      <w:tabs>
        <w:tab w:val="center" w:pos="4153"/>
        <w:tab w:val="right" w:pos="8306"/>
      </w:tabs>
      <w:spacing w:after="0" w:line="276" w:lineRule="auto"/>
      <w:ind w:left="1040" w:hanging="1040"/>
      <w:jc w:val="center"/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</w:pPr>
    <w:r w:rsidRPr="00777FE8">
      <w:rPr>
        <w:rFonts w:ascii="Times New Roman" w:eastAsia="Times New Roman" w:hAnsi="Times New Roman" w:cs="Times New Roman"/>
        <w:i/>
        <w:color w:val="007354"/>
        <w:sz w:val="20"/>
        <w:szCs w:val="20"/>
        <w:lang w:val="kk-KZ"/>
      </w:rPr>
      <w:t>в рамках специализированной аккредитации</w:t>
    </w:r>
  </w:p>
  <w:p w:rsidR="00777FE8" w:rsidRPr="00777FE8" w:rsidRDefault="00777FE8" w:rsidP="00777FE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F6091D"/>
    <w:multiLevelType w:val="multilevel"/>
    <w:tmpl w:val="A7CCB6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9E9264E"/>
    <w:multiLevelType w:val="multilevel"/>
    <w:tmpl w:val="65C6E5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5225"/>
    <w:rsid w:val="000163A7"/>
    <w:rsid w:val="003C3FBE"/>
    <w:rsid w:val="00777FE8"/>
    <w:rsid w:val="00E2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A978818-9D23-42EE-A9F0-47999311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7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7FE8"/>
  </w:style>
  <w:style w:type="paragraph" w:styleId="a5">
    <w:name w:val="footer"/>
    <w:basedOn w:val="a"/>
    <w:link w:val="a6"/>
    <w:uiPriority w:val="99"/>
    <w:unhideWhenUsed/>
    <w:rsid w:val="00777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7FE8"/>
  </w:style>
  <w:style w:type="paragraph" w:customStyle="1" w:styleId="21">
    <w:name w:val="Заголовок 21"/>
    <w:basedOn w:val="a"/>
    <w:uiPriority w:val="1"/>
    <w:qFormat/>
    <w:rsid w:val="003C3FBE"/>
    <w:pPr>
      <w:widowControl w:val="0"/>
      <w:autoSpaceDE w:val="0"/>
      <w:autoSpaceDN w:val="0"/>
      <w:spacing w:after="0" w:line="240" w:lineRule="auto"/>
      <w:ind w:left="235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1NWCg7SYHtpOCG6HeVjBBEwkQuxqxOdhG/view?usp=drivesdk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4555</Words>
  <Characters>25966</Characters>
  <Application>Microsoft Office Word</Application>
  <DocSecurity>0</DocSecurity>
  <Lines>216</Lines>
  <Paragraphs>60</Paragraphs>
  <ScaleCrop>false</ScaleCrop>
  <Company/>
  <LinksUpToDate>false</LinksUpToDate>
  <CharactersWithSpaces>30461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2024-07-02T10:36:00Z</dcterms:created>
  <dcterms:modified xsi:type="dcterms:W3CDTF">2024-07-11T08:26:00Z</dcterms:modified>
</cp:coreProperties>
</file>